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7F2" w:rsidRPr="00DB0C05" w:rsidRDefault="008C07F2" w:rsidP="008C07F2">
      <w:pPr>
        <w:spacing w:after="20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DB0C05">
        <w:rPr>
          <w:rFonts w:ascii="Arial" w:hAnsi="Arial" w:cs="Arial"/>
          <w:b/>
          <w:sz w:val="20"/>
          <w:szCs w:val="20"/>
          <w:u w:val="single"/>
        </w:rPr>
        <w:t>ANNEXURE A</w:t>
      </w:r>
    </w:p>
    <w:p w:rsidR="008C07F2" w:rsidRPr="00DB0C05" w:rsidRDefault="008C07F2" w:rsidP="008C07F2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DB0C05">
        <w:rPr>
          <w:rFonts w:ascii="Arial" w:hAnsi="Arial" w:cs="Arial"/>
          <w:b/>
          <w:sz w:val="20"/>
          <w:szCs w:val="20"/>
        </w:rPr>
        <w:t>Service Levels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01"/>
        <w:gridCol w:w="1434"/>
        <w:gridCol w:w="1843"/>
        <w:gridCol w:w="1701"/>
        <w:gridCol w:w="992"/>
        <w:gridCol w:w="1041"/>
      </w:tblGrid>
      <w:tr w:rsidR="008C07F2" w:rsidRPr="00DB0C05" w:rsidTr="00FE2F21">
        <w:tc>
          <w:tcPr>
            <w:tcW w:w="1271" w:type="dxa"/>
            <w:shd w:val="clear" w:color="auto" w:fill="9CC2E5" w:themeFill="accent1" w:themeFillTint="99"/>
          </w:tcPr>
          <w:p w:rsidR="008C07F2" w:rsidRPr="00DB0C05" w:rsidRDefault="00FE2F21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  <w:b/>
              </w:rPr>
              <w:t>Service Level Descriptio</w:t>
            </w:r>
            <w:r w:rsidR="008C07F2" w:rsidRPr="00DB0C05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401" w:type="dxa"/>
            <w:shd w:val="clear" w:color="auto" w:fill="9CC2E5" w:themeFill="accent1" w:themeFillTint="99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  <w:b/>
              </w:rPr>
              <w:t>Target</w:t>
            </w:r>
          </w:p>
        </w:tc>
        <w:tc>
          <w:tcPr>
            <w:tcW w:w="1434" w:type="dxa"/>
            <w:shd w:val="clear" w:color="auto" w:fill="9CC2E5" w:themeFill="accent1" w:themeFillTint="99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  <w:b/>
              </w:rPr>
              <w:t>Frequency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  <w:b/>
              </w:rPr>
              <w:t>Source Of Measurement/</w:t>
            </w:r>
            <w:r w:rsidR="00FE2F21" w:rsidRPr="00DB0C05">
              <w:rPr>
                <w:rFonts w:ascii="Arial" w:hAnsi="Arial" w:cs="Arial"/>
                <w:b/>
              </w:rPr>
              <w:t xml:space="preserve"> </w:t>
            </w:r>
            <w:r w:rsidRPr="00DB0C05">
              <w:rPr>
                <w:rFonts w:ascii="Arial" w:hAnsi="Arial" w:cs="Arial"/>
                <w:b/>
              </w:rPr>
              <w:t>Deliverable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  <w:b/>
              </w:rPr>
              <w:t>Measurement Period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  <w:b/>
              </w:rPr>
              <w:t>Weighting of Amount at Risk</w:t>
            </w:r>
          </w:p>
        </w:tc>
        <w:tc>
          <w:tcPr>
            <w:tcW w:w="1041" w:type="dxa"/>
            <w:shd w:val="clear" w:color="auto" w:fill="9CC2E5" w:themeFill="accent1" w:themeFillTint="99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  <w:b/>
              </w:rPr>
              <w:t>Target To Be Achieved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F054E8" w:rsidP="00944B70">
            <w:pPr>
              <w:spacing w:after="200" w:line="276" w:lineRule="auto"/>
              <w:ind w:left="31" w:hanging="142"/>
            </w:pPr>
            <w:r w:rsidRPr="00DB0C05">
              <w:rPr>
                <w:rFonts w:ascii="Arial" w:hAnsi="Arial" w:cs="Arial"/>
              </w:rPr>
              <w:t>1.M</w:t>
            </w:r>
            <w:r w:rsidR="008C07F2" w:rsidRPr="00DB0C05">
              <w:rPr>
                <w:rFonts w:ascii="Arial" w:hAnsi="Arial" w:cs="Arial"/>
              </w:rPr>
              <w:t>onitoring of Print Media</w:t>
            </w:r>
          </w:p>
        </w:tc>
        <w:tc>
          <w:tcPr>
            <w:tcW w:w="1401" w:type="dxa"/>
          </w:tcPr>
          <w:p w:rsidR="008C07F2" w:rsidRPr="00DB0C05" w:rsidRDefault="00557EFE" w:rsidP="00AC5A6C">
            <w:pPr>
              <w:ind w:left="176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</w:rPr>
              <w:t xml:space="preserve">1.1 </w:t>
            </w:r>
            <w:r w:rsidR="00FE2F21" w:rsidRPr="00DB0C05">
              <w:rPr>
                <w:rFonts w:ascii="Arial" w:hAnsi="Arial" w:cs="Arial"/>
              </w:rPr>
              <w:t xml:space="preserve">The </w:t>
            </w:r>
            <w:r w:rsidR="008C07F2" w:rsidRPr="00DB0C05">
              <w:rPr>
                <w:rFonts w:ascii="Arial" w:hAnsi="Arial" w:cs="Arial"/>
                <w:lang w:val="x-none"/>
              </w:rPr>
              <w:t>S</w:t>
            </w:r>
            <w:r w:rsidR="00FE2F21" w:rsidRPr="00DB0C05">
              <w:rPr>
                <w:rFonts w:ascii="Arial" w:hAnsi="Arial" w:cs="Arial"/>
              </w:rPr>
              <w:t xml:space="preserve">ervice </w:t>
            </w:r>
            <w:r w:rsidR="008C07F2" w:rsidRPr="00DB0C05">
              <w:rPr>
                <w:rFonts w:ascii="Arial" w:hAnsi="Arial" w:cs="Arial"/>
                <w:lang w:val="x-none"/>
              </w:rPr>
              <w:t>P</w:t>
            </w:r>
            <w:r w:rsidR="00FE2F21" w:rsidRPr="00DB0C05">
              <w:rPr>
                <w:rFonts w:ascii="Arial" w:hAnsi="Arial" w:cs="Arial"/>
              </w:rPr>
              <w:t>rovider</w:t>
            </w:r>
            <w:r w:rsidR="008C07F2" w:rsidRPr="00DB0C05">
              <w:rPr>
                <w:rFonts w:ascii="Arial" w:hAnsi="Arial" w:cs="Arial"/>
                <w:lang w:val="x-none"/>
              </w:rPr>
              <w:t xml:space="preserve"> should monitor Print Media using a combination of keywords provided by SARS.</w:t>
            </w:r>
          </w:p>
          <w:p w:rsidR="00FE2F21" w:rsidRPr="00DB0C05" w:rsidRDefault="00FE2F21" w:rsidP="00FE2F21">
            <w:pPr>
              <w:ind w:left="193"/>
              <w:rPr>
                <w:rFonts w:ascii="Arial" w:hAnsi="Arial" w:cs="Arial"/>
                <w:lang w:val="x-none"/>
              </w:rPr>
            </w:pPr>
          </w:p>
          <w:p w:rsidR="008C07F2" w:rsidRPr="00DB0C05" w:rsidRDefault="008C07F2" w:rsidP="00FE2F21">
            <w:pPr>
              <w:ind w:left="193"/>
            </w:pP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On a daily basis at: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08h00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12h00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16h00</w:t>
            </w:r>
          </w:p>
          <w:p w:rsidR="008C07F2" w:rsidRPr="00DB0C05" w:rsidRDefault="008C07F2" w:rsidP="008C07F2">
            <w:pPr>
              <w:spacing w:after="200" w:line="276" w:lineRule="auto"/>
            </w:pP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FE2F21" w:rsidRPr="00DB0C05" w:rsidTr="00FE2F21">
        <w:tc>
          <w:tcPr>
            <w:tcW w:w="1271" w:type="dxa"/>
          </w:tcPr>
          <w:p w:rsidR="00FE2F21" w:rsidRPr="00DB0C05" w:rsidRDefault="00FE2F21" w:rsidP="008C07F2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E2F21" w:rsidRPr="00DB0C05" w:rsidRDefault="00557EFE" w:rsidP="00AC5A6C">
            <w:pPr>
              <w:ind w:left="176" w:hanging="284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  <w:lang w:eastAsia="x-none"/>
              </w:rPr>
              <w:t xml:space="preserve">1.2 </w:t>
            </w:r>
            <w:r w:rsidR="00FE2F21" w:rsidRPr="00DB0C05">
              <w:rPr>
                <w:rFonts w:ascii="Arial" w:hAnsi="Arial" w:cs="Arial"/>
                <w:lang w:eastAsia="x-none"/>
              </w:rPr>
              <w:t xml:space="preserve">The </w:t>
            </w:r>
            <w:r w:rsidR="00FE2F21" w:rsidRPr="00DB0C05">
              <w:rPr>
                <w:rFonts w:ascii="Arial" w:hAnsi="Arial" w:cs="Arial"/>
                <w:lang w:val="x-none" w:eastAsia="x-none"/>
              </w:rPr>
              <w:t>S</w:t>
            </w:r>
            <w:r w:rsidR="00FE2F21" w:rsidRPr="00DB0C05">
              <w:rPr>
                <w:rFonts w:ascii="Arial" w:hAnsi="Arial" w:cs="Arial"/>
                <w:lang w:eastAsia="x-none"/>
              </w:rPr>
              <w:t xml:space="preserve">ervice </w:t>
            </w:r>
            <w:r w:rsidR="00FE2F21" w:rsidRPr="00DB0C05">
              <w:rPr>
                <w:rFonts w:ascii="Arial" w:hAnsi="Arial" w:cs="Arial"/>
                <w:lang w:val="x-none" w:eastAsia="x-none"/>
              </w:rPr>
              <w:t>P</w:t>
            </w:r>
            <w:r w:rsidR="00FE2F21" w:rsidRPr="00DB0C05">
              <w:rPr>
                <w:rFonts w:ascii="Arial" w:hAnsi="Arial" w:cs="Arial"/>
                <w:lang w:eastAsia="x-none"/>
              </w:rPr>
              <w:t>rovider</w:t>
            </w:r>
            <w:r w:rsidR="00FE2F21" w:rsidRPr="00DB0C05">
              <w:rPr>
                <w:rFonts w:ascii="Arial" w:hAnsi="Arial" w:cs="Arial"/>
                <w:lang w:val="x-none" w:eastAsia="x-none"/>
              </w:rPr>
              <w:t xml:space="preserve"> should send by email all relevant and publicly available articles to SARS</w:t>
            </w:r>
            <w:r w:rsidR="00FE2F21" w:rsidRPr="00DB0C05">
              <w:rPr>
                <w:rFonts w:ascii="Arial" w:hAnsi="Arial" w:cs="Arial"/>
                <w:lang w:eastAsia="x-none"/>
              </w:rPr>
              <w:t>.</w:t>
            </w:r>
          </w:p>
          <w:p w:rsidR="00FE2F21" w:rsidRPr="00DB0C05" w:rsidRDefault="00FE2F21" w:rsidP="00FE2F21">
            <w:pPr>
              <w:ind w:left="193"/>
              <w:rPr>
                <w:rFonts w:ascii="Arial" w:hAnsi="Arial" w:cs="Arial"/>
              </w:rPr>
            </w:pPr>
          </w:p>
        </w:tc>
        <w:tc>
          <w:tcPr>
            <w:tcW w:w="1434" w:type="dxa"/>
          </w:tcPr>
          <w:p w:rsidR="00FE2F21" w:rsidRPr="00DB0C05" w:rsidRDefault="00FE2F21" w:rsidP="00FE2F21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On a daily basis at:</w:t>
            </w:r>
          </w:p>
          <w:p w:rsidR="00FE2F21" w:rsidRPr="00DB0C05" w:rsidRDefault="00FE2F21" w:rsidP="00FE2F21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08h00</w:t>
            </w:r>
          </w:p>
          <w:p w:rsidR="00FE2F21" w:rsidRPr="00DB0C05" w:rsidRDefault="00FE2F21" w:rsidP="00FE2F21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12h00</w:t>
            </w:r>
          </w:p>
          <w:p w:rsidR="00FE2F21" w:rsidRPr="00DB0C05" w:rsidRDefault="00FE2F21" w:rsidP="00FE2F21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16h00</w:t>
            </w:r>
          </w:p>
          <w:p w:rsidR="00FE2F21" w:rsidRPr="00DB0C05" w:rsidRDefault="00FE2F21" w:rsidP="008C07F2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E2F21" w:rsidRPr="00DB0C05" w:rsidRDefault="00FE2F21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FE2F21" w:rsidRPr="00DB0C05" w:rsidRDefault="00FE2F21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FE2F21" w:rsidRPr="00DB0C05" w:rsidRDefault="00FE2F21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FE2F21" w:rsidRPr="00DB0C05" w:rsidRDefault="00FE2F21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</w:pPr>
          </w:p>
        </w:tc>
        <w:tc>
          <w:tcPr>
            <w:tcW w:w="1401" w:type="dxa"/>
          </w:tcPr>
          <w:p w:rsidR="008C07F2" w:rsidRPr="00DB0C05" w:rsidRDefault="00557EFE" w:rsidP="00AC5A6C">
            <w:pPr>
              <w:spacing w:after="200" w:line="276" w:lineRule="auto"/>
              <w:ind w:left="176" w:hanging="284"/>
            </w:pPr>
            <w:r w:rsidRPr="00DB0C05">
              <w:rPr>
                <w:rFonts w:ascii="Arial" w:hAnsi="Arial" w:cs="Arial"/>
              </w:rPr>
              <w:t>1.3</w:t>
            </w:r>
            <w:r w:rsidR="008C07F2" w:rsidRPr="00DB0C05">
              <w:rPr>
                <w:rFonts w:ascii="Arial" w:hAnsi="Arial" w:cs="Arial"/>
              </w:rPr>
              <w:t xml:space="preserve"> </w:t>
            </w:r>
            <w:r w:rsidRPr="00DB0C05">
              <w:rPr>
                <w:rFonts w:ascii="Arial" w:hAnsi="Arial" w:cs="Arial"/>
              </w:rPr>
              <w:t xml:space="preserve">The </w:t>
            </w:r>
            <w:r w:rsidR="008C07F2" w:rsidRPr="00DB0C05">
              <w:rPr>
                <w:rFonts w:ascii="Arial" w:hAnsi="Arial" w:cs="Arial"/>
              </w:rPr>
              <w:t xml:space="preserve">Service Provider </w:t>
            </w:r>
            <w:r w:rsidR="008C07F2" w:rsidRPr="00DB0C05">
              <w:rPr>
                <w:rFonts w:ascii="Arial" w:hAnsi="Arial" w:cs="Arial"/>
              </w:rPr>
              <w:lastRenderedPageBreak/>
              <w:t>must provide access to digital and/or PDF versions of the articles provided to SARS</w:t>
            </w:r>
          </w:p>
        </w:tc>
        <w:tc>
          <w:tcPr>
            <w:tcW w:w="1434" w:type="dxa"/>
          </w:tcPr>
          <w:p w:rsidR="008C07F2" w:rsidRPr="00DB0C05" w:rsidRDefault="00F054E8" w:rsidP="00F054E8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lastRenderedPageBreak/>
              <w:t>Daily and o</w:t>
            </w:r>
            <w:r w:rsidR="00557EFE" w:rsidRPr="00DB0C05">
              <w:rPr>
                <w:rFonts w:ascii="Arial" w:hAnsi="Arial" w:cs="Arial"/>
              </w:rPr>
              <w:t xml:space="preserve">n </w:t>
            </w:r>
            <w:r w:rsidR="008C07F2" w:rsidRPr="00DB0C05">
              <w:rPr>
                <w:rFonts w:ascii="Arial" w:hAnsi="Arial" w:cs="Arial"/>
              </w:rPr>
              <w:t>a 24 hour basis</w:t>
            </w:r>
            <w:r w:rsidRPr="00DB0C05">
              <w:rPr>
                <w:rFonts w:ascii="Arial" w:hAnsi="Arial" w:cs="Arial"/>
              </w:rPr>
              <w:t xml:space="preserve"> </w:t>
            </w:r>
            <w:r w:rsidR="008C07F2" w:rsidRPr="00DB0C05">
              <w:rPr>
                <w:rFonts w:ascii="Arial" w:hAnsi="Arial" w:cs="Arial"/>
              </w:rPr>
              <w:lastRenderedPageBreak/>
              <w:t>(including weekends)</w:t>
            </w:r>
          </w:p>
        </w:tc>
        <w:tc>
          <w:tcPr>
            <w:tcW w:w="1843" w:type="dxa"/>
          </w:tcPr>
          <w:p w:rsidR="008C07F2" w:rsidRPr="00DB0C05" w:rsidRDefault="00557EFE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lastRenderedPageBreak/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F054E8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95</w:t>
            </w:r>
            <w:r w:rsidR="008C07F2" w:rsidRPr="00DB0C05">
              <w:rPr>
                <w:rFonts w:ascii="Arial" w:hAnsi="Arial" w:cs="Arial"/>
              </w:rPr>
              <w:t>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</w:pPr>
          </w:p>
        </w:tc>
        <w:tc>
          <w:tcPr>
            <w:tcW w:w="1401" w:type="dxa"/>
          </w:tcPr>
          <w:p w:rsidR="008C07F2" w:rsidRPr="00DB0C05" w:rsidRDefault="00557EFE" w:rsidP="00AC5A6C">
            <w:pPr>
              <w:spacing w:after="200" w:line="276" w:lineRule="auto"/>
              <w:ind w:left="176" w:hanging="284"/>
            </w:pPr>
            <w:r w:rsidRPr="00DB0C05">
              <w:rPr>
                <w:rFonts w:ascii="Arial" w:hAnsi="Arial" w:cs="Arial"/>
              </w:rPr>
              <w:t>1.4</w:t>
            </w:r>
            <w:r w:rsidR="008C07F2" w:rsidRPr="00DB0C05">
              <w:rPr>
                <w:rFonts w:ascii="Arial" w:hAnsi="Arial" w:cs="Arial"/>
              </w:rPr>
              <w:t xml:space="preserve"> Service Provider to provide technical support for the portal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On a 24 hour, 7 days a week basis, for all 365/6 days of the year</w:t>
            </w:r>
          </w:p>
        </w:tc>
        <w:tc>
          <w:tcPr>
            <w:tcW w:w="1843" w:type="dxa"/>
          </w:tcPr>
          <w:p w:rsidR="008C07F2" w:rsidRPr="00DB0C05" w:rsidRDefault="00F054E8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</w:pPr>
            <w:r w:rsidRPr="00DB0C05">
              <w:rPr>
                <w:rFonts w:ascii="Arial" w:hAnsi="Arial" w:cs="Arial"/>
              </w:rPr>
              <w:t>95%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F054E8" w:rsidP="00944B70">
            <w:pPr>
              <w:spacing w:after="200" w:line="276" w:lineRule="auto"/>
              <w:ind w:left="31" w:hanging="142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2.</w:t>
            </w:r>
            <w:r w:rsidR="008C07F2" w:rsidRPr="00DB0C05">
              <w:rPr>
                <w:rFonts w:ascii="Arial" w:hAnsi="Arial" w:cs="Arial"/>
              </w:rPr>
              <w:t xml:space="preserve">Monitoring of Broadcast </w:t>
            </w:r>
            <w:r w:rsidRPr="00DB0C05">
              <w:rPr>
                <w:rFonts w:ascii="Arial" w:hAnsi="Arial" w:cs="Arial"/>
              </w:rPr>
              <w:t>M</w:t>
            </w:r>
            <w:r w:rsidR="008C07F2" w:rsidRPr="00DB0C05">
              <w:rPr>
                <w:rFonts w:ascii="Arial" w:hAnsi="Arial" w:cs="Arial"/>
              </w:rPr>
              <w:t>edia</w:t>
            </w:r>
          </w:p>
        </w:tc>
        <w:tc>
          <w:tcPr>
            <w:tcW w:w="1401" w:type="dxa"/>
          </w:tcPr>
          <w:p w:rsidR="008C07F2" w:rsidRPr="00DB0C05" w:rsidRDefault="00F054E8" w:rsidP="00AC5A6C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 xml:space="preserve">2.1 The </w:t>
            </w:r>
            <w:r w:rsidR="008C07F2" w:rsidRPr="00DB0C05">
              <w:rPr>
                <w:rFonts w:ascii="Arial" w:hAnsi="Arial" w:cs="Arial"/>
              </w:rPr>
              <w:t xml:space="preserve">Service Provider </w:t>
            </w:r>
            <w:r w:rsidRPr="00DB0C05">
              <w:rPr>
                <w:rFonts w:ascii="Arial" w:hAnsi="Arial" w:cs="Arial"/>
              </w:rPr>
              <w:t>must</w:t>
            </w:r>
            <w:r w:rsidR="008C07F2" w:rsidRPr="00DB0C05">
              <w:rPr>
                <w:rFonts w:ascii="Arial" w:hAnsi="Arial" w:cs="Arial"/>
              </w:rPr>
              <w:t xml:space="preserve"> monitor all Broadcast </w:t>
            </w:r>
            <w:r w:rsidRPr="00DB0C05">
              <w:rPr>
                <w:rFonts w:ascii="Arial" w:hAnsi="Arial" w:cs="Arial"/>
              </w:rPr>
              <w:t>M</w:t>
            </w:r>
            <w:r w:rsidR="008C07F2" w:rsidRPr="00DB0C05">
              <w:rPr>
                <w:rFonts w:ascii="Arial" w:hAnsi="Arial" w:cs="Arial"/>
              </w:rPr>
              <w:t xml:space="preserve">edia and provide to SARS, videos and clips onto a secure electronic portal for download 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Daily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</w:pPr>
          </w:p>
        </w:tc>
        <w:tc>
          <w:tcPr>
            <w:tcW w:w="1401" w:type="dxa"/>
          </w:tcPr>
          <w:p w:rsidR="008C07F2" w:rsidRPr="00DB0C05" w:rsidRDefault="00F054E8" w:rsidP="00AC5A6C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 xml:space="preserve">2.2 </w:t>
            </w:r>
            <w:r w:rsidR="008C07F2" w:rsidRPr="00DB0C05">
              <w:rPr>
                <w:rFonts w:ascii="Arial" w:hAnsi="Arial" w:cs="Arial"/>
              </w:rPr>
              <w:t xml:space="preserve">The Service Provider </w:t>
            </w:r>
            <w:r w:rsidR="008C07F2" w:rsidRPr="00DB0C05">
              <w:rPr>
                <w:rFonts w:ascii="Arial" w:hAnsi="Arial" w:cs="Arial"/>
              </w:rPr>
              <w:lastRenderedPageBreak/>
              <w:t>must provide a list of articles</w:t>
            </w:r>
            <w:r w:rsidRPr="00DB0C05">
              <w:rPr>
                <w:rFonts w:ascii="Arial" w:hAnsi="Arial" w:cs="Arial"/>
              </w:rPr>
              <w:t xml:space="preserve"> under headlines</w:t>
            </w:r>
            <w:r w:rsidR="008C07F2" w:rsidRPr="00DB0C05">
              <w:rPr>
                <w:rFonts w:ascii="Arial" w:hAnsi="Arial" w:cs="Arial"/>
              </w:rPr>
              <w:t xml:space="preserve"> as they appear in the media with a short summary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 xml:space="preserve">On a daily basis at: 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>08h00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12h00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16h00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</w:pPr>
          </w:p>
        </w:tc>
        <w:tc>
          <w:tcPr>
            <w:tcW w:w="1401" w:type="dxa"/>
          </w:tcPr>
          <w:p w:rsidR="008C07F2" w:rsidRPr="00DB0C05" w:rsidRDefault="00DB0C05" w:rsidP="00AC5A6C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 xml:space="preserve">2.3 </w:t>
            </w:r>
            <w:r w:rsidR="00AC5A6C">
              <w:rPr>
                <w:rFonts w:ascii="Arial" w:hAnsi="Arial" w:cs="Arial"/>
              </w:rPr>
              <w:t>T</w:t>
            </w:r>
            <w:r w:rsidR="008C07F2" w:rsidRPr="00DB0C05">
              <w:rPr>
                <w:rFonts w:ascii="Arial" w:hAnsi="Arial" w:cs="Arial"/>
              </w:rPr>
              <w:t>he Service Provide</w:t>
            </w:r>
            <w:r>
              <w:rPr>
                <w:rFonts w:ascii="Arial" w:hAnsi="Arial" w:cs="Arial"/>
              </w:rPr>
              <w:t>r</w:t>
            </w:r>
            <w:r w:rsidR="008C07F2" w:rsidRPr="00DB0C05">
              <w:rPr>
                <w:rFonts w:ascii="Arial" w:hAnsi="Arial" w:cs="Arial"/>
              </w:rPr>
              <w:t xml:space="preserve"> must provide SMS notification to designated SARS officials about Radio or TV broadcasts</w:t>
            </w:r>
            <w:r>
              <w:rPr>
                <w:rFonts w:ascii="Arial" w:hAnsi="Arial" w:cs="Arial"/>
              </w:rPr>
              <w:t>,</w:t>
            </w:r>
            <w:r w:rsidRPr="00DB0C05">
              <w:rPr>
                <w:rFonts w:ascii="Arial" w:hAnsi="Arial" w:cs="Arial"/>
              </w:rPr>
              <w:t xml:space="preserve"> </w:t>
            </w:r>
            <w:r w:rsidRPr="00DB0C05">
              <w:rPr>
                <w:rFonts w:ascii="Arial" w:hAnsi="Arial" w:cs="Arial"/>
              </w:rPr>
              <w:t>during their broadcast</w:t>
            </w:r>
            <w:r w:rsidR="008C07F2" w:rsidRPr="00DB0C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session, which broadcast </w:t>
            </w:r>
            <w:r w:rsidR="008C07F2" w:rsidRPr="00DB0C05">
              <w:rPr>
                <w:rFonts w:ascii="Arial" w:hAnsi="Arial" w:cs="Arial"/>
              </w:rPr>
              <w:t>relat</w:t>
            </w:r>
            <w:r>
              <w:rPr>
                <w:rFonts w:ascii="Arial" w:hAnsi="Arial" w:cs="Arial"/>
              </w:rPr>
              <w:t>es</w:t>
            </w:r>
            <w:r w:rsidR="008C07F2" w:rsidRPr="00DB0C05">
              <w:rPr>
                <w:rFonts w:ascii="Arial" w:hAnsi="Arial" w:cs="Arial"/>
              </w:rPr>
              <w:t xml:space="preserve"> to SARS, </w:t>
            </w:r>
            <w:r w:rsidR="008C07F2" w:rsidRPr="00DB0C05">
              <w:rPr>
                <w:rFonts w:ascii="Arial" w:hAnsi="Arial" w:cs="Arial"/>
              </w:rPr>
              <w:lastRenderedPageBreak/>
              <w:t xml:space="preserve">SARS senior officials, the Minister of Finance and the Deputy Minister of Finance, 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>As and when it happens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 xml:space="preserve">Encompassing </w:t>
            </w:r>
            <w:r w:rsidRPr="00DB0C05">
              <w:rPr>
                <w:rFonts w:ascii="Arial" w:hAnsi="Arial" w:cs="Arial"/>
                <w:sz w:val="22"/>
                <w:szCs w:val="22"/>
              </w:rPr>
              <w:t>Coverage</w:t>
            </w:r>
            <w:r w:rsidRPr="00DB0C05">
              <w:rPr>
                <w:rFonts w:ascii="Arial" w:hAnsi="Arial" w:cs="Arial"/>
              </w:rPr>
              <w:t xml:space="preserve">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</w:pPr>
          </w:p>
        </w:tc>
        <w:tc>
          <w:tcPr>
            <w:tcW w:w="1401" w:type="dxa"/>
          </w:tcPr>
          <w:p w:rsidR="008C07F2" w:rsidRPr="00DB0C05" w:rsidRDefault="00DB0C05" w:rsidP="00AC5A6C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2.4 </w:t>
            </w:r>
            <w:r w:rsidR="008C07F2" w:rsidRPr="00DB0C05">
              <w:rPr>
                <w:rFonts w:ascii="Arial" w:hAnsi="Arial" w:cs="Arial"/>
              </w:rPr>
              <w:t xml:space="preserve">The Service Provider must provide </w:t>
            </w:r>
            <w:r>
              <w:rPr>
                <w:rFonts w:ascii="Arial" w:hAnsi="Arial" w:cs="Arial"/>
              </w:rPr>
              <w:t xml:space="preserve">upon request by SARS, </w:t>
            </w:r>
            <w:r w:rsidR="008C07F2" w:rsidRPr="00DB0C05">
              <w:rPr>
                <w:rFonts w:ascii="Arial" w:hAnsi="Arial" w:cs="Arial"/>
              </w:rPr>
              <w:t>copies of the Broadcasts in an electronic format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Within 6-12 hours of a Broadcast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98%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DB0C05" w:rsidP="00944B70">
            <w:pPr>
              <w:spacing w:after="200" w:line="276" w:lineRule="auto"/>
              <w:ind w:left="31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8C07F2" w:rsidRPr="00DB0C05">
              <w:rPr>
                <w:rFonts w:ascii="Arial" w:hAnsi="Arial" w:cs="Arial"/>
              </w:rPr>
              <w:t>Monitoring of Online and Social Media</w:t>
            </w:r>
          </w:p>
        </w:tc>
        <w:tc>
          <w:tcPr>
            <w:tcW w:w="1401" w:type="dxa"/>
          </w:tcPr>
          <w:p w:rsidR="008C07F2" w:rsidRPr="00DB0C05" w:rsidRDefault="00AC5A6C" w:rsidP="00AC5A6C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C07F2" w:rsidRPr="00DB0C05">
              <w:rPr>
                <w:rFonts w:ascii="Arial" w:hAnsi="Arial" w:cs="Arial"/>
              </w:rPr>
              <w:t xml:space="preserve">The Service Provider </w:t>
            </w:r>
            <w:r>
              <w:rPr>
                <w:rFonts w:ascii="Arial" w:hAnsi="Arial" w:cs="Arial"/>
              </w:rPr>
              <w:t>must</w:t>
            </w:r>
            <w:r w:rsidR="008C07F2" w:rsidRPr="00DB0C05">
              <w:rPr>
                <w:rFonts w:ascii="Arial" w:hAnsi="Arial" w:cs="Arial"/>
              </w:rPr>
              <w:t xml:space="preserve"> monitor Online and Social Media including online </w:t>
            </w:r>
            <w:r w:rsidR="008C07F2" w:rsidRPr="00DB0C05">
              <w:rPr>
                <w:rFonts w:ascii="Arial" w:hAnsi="Arial" w:cs="Arial"/>
              </w:rPr>
              <w:lastRenderedPageBreak/>
              <w:t>versions of the Print Media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>Daily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8C07F2" w:rsidRPr="00DB0C05" w:rsidRDefault="00AC5A6C" w:rsidP="00AC5A6C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3.2 </w:t>
            </w:r>
            <w:r w:rsidR="008C07F2" w:rsidRPr="00DB0C05">
              <w:rPr>
                <w:rFonts w:ascii="Arial" w:hAnsi="Arial" w:cs="Arial"/>
              </w:rPr>
              <w:t>Service Provider to provide reports with headlines and summaries via email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On a daily basis at: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08h00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12h00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16h00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8C07F2" w:rsidRPr="00DB0C05" w:rsidRDefault="00AC5A6C" w:rsidP="00AC5A6C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3.3 </w:t>
            </w:r>
            <w:r w:rsidR="008C07F2" w:rsidRPr="00DB0C05">
              <w:rPr>
                <w:rFonts w:ascii="Arial" w:hAnsi="Arial" w:cs="Arial"/>
              </w:rPr>
              <w:t xml:space="preserve">Service Provider to provide electronic access to the reports 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Daily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944B70">
            <w:pPr>
              <w:spacing w:after="200" w:line="276" w:lineRule="auto"/>
              <w:ind w:left="173" w:hanging="173"/>
            </w:pPr>
          </w:p>
        </w:tc>
        <w:tc>
          <w:tcPr>
            <w:tcW w:w="1401" w:type="dxa"/>
          </w:tcPr>
          <w:p w:rsidR="008C07F2" w:rsidRPr="00DB0C05" w:rsidRDefault="00AC5A6C" w:rsidP="00AC5A6C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 </w:t>
            </w:r>
            <w:r w:rsidR="008C07F2" w:rsidRPr="00DB0C05">
              <w:rPr>
                <w:rFonts w:ascii="Arial" w:hAnsi="Arial" w:cs="Arial"/>
              </w:rPr>
              <w:t>Service Provider must provide access to SARS on to the social media tracking dashboard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Daily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Encompassing Coverage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944B70" w:rsidP="00E32817">
            <w:pPr>
              <w:spacing w:after="200" w:line="276" w:lineRule="auto"/>
              <w:ind w:left="31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8C07F2" w:rsidRPr="00DB0C05">
              <w:rPr>
                <w:rFonts w:ascii="Arial" w:hAnsi="Arial" w:cs="Arial"/>
              </w:rPr>
              <w:t>Media and Trends</w:t>
            </w:r>
            <w:r w:rsidR="00E32817">
              <w:rPr>
                <w:rFonts w:ascii="Arial" w:hAnsi="Arial" w:cs="Arial"/>
              </w:rPr>
              <w:t xml:space="preserve"> Analysis</w:t>
            </w:r>
          </w:p>
        </w:tc>
        <w:tc>
          <w:tcPr>
            <w:tcW w:w="1401" w:type="dxa"/>
          </w:tcPr>
          <w:p w:rsidR="008C07F2" w:rsidRPr="00DB0C05" w:rsidRDefault="00944B70" w:rsidP="00E32817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  <w:r w:rsidR="008C07F2" w:rsidRPr="00DB0C05">
              <w:rPr>
                <w:rFonts w:ascii="Arial" w:hAnsi="Arial" w:cs="Arial"/>
              </w:rPr>
              <w:t xml:space="preserve">The Service Provider must </w:t>
            </w:r>
            <w:r w:rsidR="00E32817">
              <w:rPr>
                <w:rFonts w:ascii="Arial" w:hAnsi="Arial" w:cs="Arial"/>
              </w:rPr>
              <w:lastRenderedPageBreak/>
              <w:t>submit a qualitative and quantitative</w:t>
            </w:r>
            <w:r w:rsidR="008C07F2" w:rsidRPr="00DB0C05">
              <w:rPr>
                <w:rFonts w:ascii="Arial" w:hAnsi="Arial" w:cs="Arial"/>
              </w:rPr>
              <w:t xml:space="preserve"> </w:t>
            </w:r>
            <w:r w:rsidR="00E32817">
              <w:rPr>
                <w:rFonts w:ascii="Arial" w:hAnsi="Arial" w:cs="Arial"/>
              </w:rPr>
              <w:t xml:space="preserve"> a</w:t>
            </w:r>
            <w:r w:rsidR="008C07F2" w:rsidRPr="00DB0C05">
              <w:rPr>
                <w:rFonts w:ascii="Arial" w:hAnsi="Arial" w:cs="Arial"/>
              </w:rPr>
              <w:t xml:space="preserve">nalysis </w:t>
            </w:r>
            <w:r w:rsidR="00E32817">
              <w:rPr>
                <w:rFonts w:ascii="Arial" w:hAnsi="Arial" w:cs="Arial"/>
              </w:rPr>
              <w:t>r</w:t>
            </w:r>
            <w:r w:rsidR="008C07F2" w:rsidRPr="00DB0C05">
              <w:rPr>
                <w:rFonts w:ascii="Arial" w:hAnsi="Arial" w:cs="Arial"/>
              </w:rPr>
              <w:t>eport on all forms of media</w:t>
            </w:r>
            <w:r w:rsidR="00E32817">
              <w:rPr>
                <w:rFonts w:ascii="Arial" w:hAnsi="Arial" w:cs="Arial"/>
              </w:rPr>
              <w:t xml:space="preserve"> content and coverage and also report on trending topics related to SARS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 xml:space="preserve">On a daily, weekly, monthly, </w:t>
            </w:r>
            <w:r w:rsidRPr="00DB0C05">
              <w:rPr>
                <w:rFonts w:ascii="Arial" w:hAnsi="Arial" w:cs="Arial"/>
              </w:rPr>
              <w:lastRenderedPageBreak/>
              <w:t>quarterly and annual basis.</w:t>
            </w:r>
          </w:p>
          <w:p w:rsidR="008C07F2" w:rsidRPr="00DB0C05" w:rsidRDefault="008C07F2" w:rsidP="007E26CC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 xml:space="preserve">Ad hoc </w:t>
            </w:r>
            <w:r w:rsidR="007E26CC">
              <w:rPr>
                <w:rFonts w:ascii="Arial" w:hAnsi="Arial" w:cs="Arial"/>
              </w:rPr>
              <w:t xml:space="preserve">       </w:t>
            </w:r>
            <w:r w:rsidRPr="00DB0C05">
              <w:rPr>
                <w:rFonts w:ascii="Arial" w:hAnsi="Arial" w:cs="Arial"/>
              </w:rPr>
              <w:t>requests may also be made by SARS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 xml:space="preserve">The </w:t>
            </w:r>
            <w:r w:rsidR="007E26CC">
              <w:rPr>
                <w:rFonts w:ascii="Arial" w:hAnsi="Arial" w:cs="Arial"/>
              </w:rPr>
              <w:t>a</w:t>
            </w:r>
            <w:r w:rsidRPr="00DB0C05">
              <w:rPr>
                <w:rFonts w:ascii="Arial" w:hAnsi="Arial" w:cs="Arial"/>
              </w:rPr>
              <w:t xml:space="preserve">nalysis report with both quantitative and </w:t>
            </w:r>
            <w:r w:rsidRPr="00DB0C05">
              <w:rPr>
                <w:rFonts w:ascii="Arial" w:hAnsi="Arial" w:cs="Arial"/>
              </w:rPr>
              <w:lastRenderedPageBreak/>
              <w:t>qualitative analysis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>Monthly, quarterly and annually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</w:pPr>
          </w:p>
        </w:tc>
        <w:tc>
          <w:tcPr>
            <w:tcW w:w="1401" w:type="dxa"/>
          </w:tcPr>
          <w:p w:rsidR="008C07F2" w:rsidRPr="00DB0C05" w:rsidRDefault="00944B70" w:rsidP="00944B70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 </w:t>
            </w:r>
            <w:r w:rsidR="008C07F2" w:rsidRPr="00DB0C05">
              <w:rPr>
                <w:rFonts w:ascii="Arial" w:hAnsi="Arial" w:cs="Arial"/>
              </w:rPr>
              <w:t>The Service Provider must provide an annual review of media coverage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Annually and should coincide with the financial year end</w:t>
            </w:r>
          </w:p>
        </w:tc>
        <w:tc>
          <w:tcPr>
            <w:tcW w:w="1843" w:type="dxa"/>
          </w:tcPr>
          <w:p w:rsidR="008C07F2" w:rsidRPr="00E32817" w:rsidRDefault="00E32817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E32817">
              <w:rPr>
                <w:rFonts w:ascii="Arial" w:hAnsi="Arial" w:cs="Arial"/>
              </w:rPr>
              <w:t>Review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Annually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</w:pPr>
          </w:p>
        </w:tc>
        <w:tc>
          <w:tcPr>
            <w:tcW w:w="1401" w:type="dxa"/>
          </w:tcPr>
          <w:p w:rsidR="008C07F2" w:rsidRPr="00DB0C05" w:rsidRDefault="00944B70" w:rsidP="00944B70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</w:t>
            </w:r>
            <w:r w:rsidR="008C07F2" w:rsidRPr="00DB0C05">
              <w:rPr>
                <w:rFonts w:ascii="Arial" w:hAnsi="Arial" w:cs="Arial"/>
              </w:rPr>
              <w:t xml:space="preserve">The Service Provider must submit the Analysis reports within the </w:t>
            </w:r>
            <w:r w:rsidR="00E32817">
              <w:rPr>
                <w:rFonts w:ascii="Arial" w:hAnsi="Arial" w:cs="Arial"/>
              </w:rPr>
              <w:lastRenderedPageBreak/>
              <w:t xml:space="preserve">set </w:t>
            </w:r>
            <w:r w:rsidR="008C07F2" w:rsidRPr="00DB0C05">
              <w:rPr>
                <w:rFonts w:ascii="Arial" w:hAnsi="Arial" w:cs="Arial"/>
              </w:rPr>
              <w:t>time frames provided</w:t>
            </w:r>
            <w:r w:rsidR="00E32817">
              <w:rPr>
                <w:rFonts w:ascii="Arial" w:hAnsi="Arial" w:cs="Arial"/>
              </w:rPr>
              <w:t xml:space="preserve"> by SARS</w:t>
            </w:r>
          </w:p>
        </w:tc>
        <w:tc>
          <w:tcPr>
            <w:tcW w:w="1434" w:type="dxa"/>
          </w:tcPr>
          <w:p w:rsidR="00E32817" w:rsidRDefault="00E32817" w:rsidP="001D3BF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190" w:hanging="283"/>
              <w:rPr>
                <w:rFonts w:ascii="Arial" w:hAnsi="Arial" w:cs="Arial"/>
              </w:rPr>
            </w:pPr>
            <w:r w:rsidRPr="001D3BF6">
              <w:rPr>
                <w:rFonts w:ascii="Arial" w:hAnsi="Arial" w:cs="Arial"/>
              </w:rPr>
              <w:lastRenderedPageBreak/>
              <w:t>Daily monitoring report to be submitted on a daily basis;</w:t>
            </w:r>
          </w:p>
          <w:p w:rsidR="001D3BF6" w:rsidRPr="001D3BF6" w:rsidRDefault="001D3BF6" w:rsidP="001D3BF6">
            <w:pPr>
              <w:pStyle w:val="ListParagraph"/>
              <w:spacing w:after="200" w:line="276" w:lineRule="auto"/>
              <w:ind w:left="190"/>
              <w:rPr>
                <w:rFonts w:ascii="Arial" w:hAnsi="Arial" w:cs="Arial"/>
              </w:rPr>
            </w:pPr>
          </w:p>
          <w:p w:rsidR="008C07F2" w:rsidRDefault="008C07F2" w:rsidP="001D3BF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190" w:hanging="283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>Weekly analysis report to be submitted every Monday ;</w:t>
            </w:r>
          </w:p>
          <w:p w:rsidR="001D3BF6" w:rsidRPr="00DB0C05" w:rsidRDefault="001D3BF6" w:rsidP="001D3BF6">
            <w:pPr>
              <w:pStyle w:val="ListParagraph"/>
              <w:spacing w:after="200" w:line="276" w:lineRule="auto"/>
              <w:ind w:left="190"/>
              <w:rPr>
                <w:rFonts w:ascii="Arial" w:hAnsi="Arial" w:cs="Arial"/>
              </w:rPr>
            </w:pPr>
          </w:p>
          <w:p w:rsidR="008C07F2" w:rsidRDefault="008C07F2" w:rsidP="001D3BF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190" w:hanging="283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 xml:space="preserve">Monthly report to be submitted 2 </w:t>
            </w:r>
            <w:r w:rsidR="00E32817">
              <w:rPr>
                <w:rFonts w:ascii="Arial" w:hAnsi="Arial" w:cs="Arial"/>
              </w:rPr>
              <w:t xml:space="preserve">days </w:t>
            </w:r>
            <w:r w:rsidRPr="00DB0C05">
              <w:rPr>
                <w:rFonts w:ascii="Arial" w:hAnsi="Arial" w:cs="Arial"/>
              </w:rPr>
              <w:t xml:space="preserve">after </w:t>
            </w:r>
            <w:r w:rsidR="00E32817">
              <w:rPr>
                <w:rFonts w:ascii="Arial" w:hAnsi="Arial" w:cs="Arial"/>
              </w:rPr>
              <w:t xml:space="preserve">the end of the </w:t>
            </w:r>
            <w:r w:rsidRPr="00DB0C05">
              <w:rPr>
                <w:rFonts w:ascii="Arial" w:hAnsi="Arial" w:cs="Arial"/>
              </w:rPr>
              <w:t>month;</w:t>
            </w:r>
          </w:p>
          <w:p w:rsidR="001D3BF6" w:rsidRPr="00DB0C05" w:rsidRDefault="001D3BF6" w:rsidP="001D3BF6">
            <w:pPr>
              <w:pStyle w:val="ListParagraph"/>
              <w:spacing w:after="200" w:line="276" w:lineRule="auto"/>
              <w:ind w:left="190"/>
              <w:rPr>
                <w:rFonts w:ascii="Arial" w:hAnsi="Arial" w:cs="Arial"/>
              </w:rPr>
            </w:pPr>
          </w:p>
          <w:p w:rsidR="008C07F2" w:rsidRDefault="008C07F2" w:rsidP="001D3BF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190" w:hanging="283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Quarterly report to be submitted 7 days after the end of a quarter;</w:t>
            </w:r>
          </w:p>
          <w:p w:rsidR="001D3BF6" w:rsidRPr="00DB0C05" w:rsidRDefault="001D3BF6" w:rsidP="001D3BF6">
            <w:pPr>
              <w:pStyle w:val="ListParagraph"/>
              <w:spacing w:after="200" w:line="276" w:lineRule="auto"/>
              <w:ind w:left="190"/>
              <w:rPr>
                <w:rFonts w:ascii="Arial" w:hAnsi="Arial" w:cs="Arial"/>
              </w:rPr>
            </w:pPr>
          </w:p>
          <w:p w:rsidR="008C07F2" w:rsidRDefault="008C07F2" w:rsidP="001D3BF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190" w:hanging="283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Annual report to be submitted 14 days after SARS financial year end;</w:t>
            </w:r>
          </w:p>
          <w:p w:rsidR="001D3BF6" w:rsidRPr="00DB0C05" w:rsidRDefault="001D3BF6" w:rsidP="001D3BF6">
            <w:pPr>
              <w:pStyle w:val="ListParagraph"/>
              <w:spacing w:after="200" w:line="276" w:lineRule="auto"/>
              <w:ind w:left="190"/>
              <w:rPr>
                <w:rFonts w:ascii="Arial" w:hAnsi="Arial" w:cs="Arial"/>
              </w:rPr>
            </w:pPr>
          </w:p>
          <w:p w:rsidR="008C07F2" w:rsidRPr="00DB0C05" w:rsidRDefault="008C07F2" w:rsidP="001D3BF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190" w:hanging="283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 xml:space="preserve">Ad hoc reports to be submitted within 6 </w:t>
            </w:r>
            <w:r w:rsidRPr="00DB0C05">
              <w:rPr>
                <w:rFonts w:ascii="Arial" w:hAnsi="Arial" w:cs="Arial"/>
              </w:rPr>
              <w:lastRenderedPageBreak/>
              <w:t>hours of request by SARS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>Analysis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Monthly, Quarterly, Annually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944B70" w:rsidP="00944B70">
            <w:pPr>
              <w:spacing w:after="200" w:line="276" w:lineRule="auto"/>
              <w:ind w:left="31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</w:t>
            </w:r>
            <w:r w:rsidR="008C07F2" w:rsidRPr="00DB0C05">
              <w:rPr>
                <w:rFonts w:ascii="Arial" w:hAnsi="Arial" w:cs="Arial"/>
              </w:rPr>
              <w:t>Daily New</w:t>
            </w:r>
            <w:r w:rsidR="001D3BF6">
              <w:rPr>
                <w:rFonts w:ascii="Arial" w:hAnsi="Arial" w:cs="Arial"/>
              </w:rPr>
              <w:t>s Summary</w:t>
            </w:r>
            <w:r w:rsidR="008C07F2" w:rsidRPr="00DB0C05">
              <w:rPr>
                <w:rFonts w:ascii="Arial" w:hAnsi="Arial" w:cs="Arial"/>
              </w:rPr>
              <w:t xml:space="preserve"> Report</w:t>
            </w:r>
          </w:p>
        </w:tc>
        <w:tc>
          <w:tcPr>
            <w:tcW w:w="1401" w:type="dxa"/>
          </w:tcPr>
          <w:p w:rsidR="008C07F2" w:rsidRPr="00DB0C05" w:rsidRDefault="00944B70" w:rsidP="00944B70">
            <w:pPr>
              <w:spacing w:after="200" w:line="276" w:lineRule="auto"/>
              <w:ind w:left="176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  <w:r w:rsidR="008C07F2" w:rsidRPr="00DB0C05">
              <w:rPr>
                <w:rFonts w:ascii="Arial" w:hAnsi="Arial" w:cs="Arial"/>
              </w:rPr>
              <w:t>The Service Provider must provide a qualitative summary report of daily news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Daily at 08h00 including weekends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Qualitative news summary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944B70" w:rsidP="00944B70">
            <w:pPr>
              <w:spacing w:after="200" w:line="276" w:lineRule="auto"/>
              <w:ind w:left="31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="008C07F2" w:rsidRPr="00DB0C05">
              <w:rPr>
                <w:rFonts w:ascii="Arial" w:hAnsi="Arial" w:cs="Arial"/>
              </w:rPr>
              <w:t>Special Analysis Reports</w:t>
            </w:r>
          </w:p>
        </w:tc>
        <w:tc>
          <w:tcPr>
            <w:tcW w:w="14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The Service Provider must provide the following special analysis reports:</w:t>
            </w:r>
          </w:p>
          <w:p w:rsidR="008C07F2" w:rsidRPr="00DB0C05" w:rsidRDefault="008C07F2" w:rsidP="008C07F2">
            <w:pPr>
              <w:numPr>
                <w:ilvl w:val="0"/>
                <w:numId w:val="2"/>
              </w:numPr>
              <w:ind w:left="250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</w:rPr>
              <w:t xml:space="preserve">Report on </w:t>
            </w:r>
            <w:r w:rsidRPr="00DB0C05">
              <w:rPr>
                <w:rFonts w:ascii="Arial" w:hAnsi="Arial" w:cs="Arial"/>
                <w:lang w:val="x-none"/>
              </w:rPr>
              <w:t>annual tax season for individuals</w:t>
            </w:r>
          </w:p>
          <w:p w:rsidR="008C07F2" w:rsidRPr="00DB0C05" w:rsidRDefault="008C07F2" w:rsidP="008C07F2">
            <w:pPr>
              <w:numPr>
                <w:ilvl w:val="0"/>
                <w:numId w:val="2"/>
              </w:numPr>
              <w:ind w:left="250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</w:rPr>
              <w:t>Comprehensive tax season report on employers</w:t>
            </w:r>
          </w:p>
          <w:p w:rsidR="008C07F2" w:rsidRPr="00DB0C05" w:rsidRDefault="008C07F2" w:rsidP="008C07F2">
            <w:pPr>
              <w:numPr>
                <w:ilvl w:val="0"/>
                <w:numId w:val="2"/>
              </w:numPr>
              <w:ind w:left="250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</w:rPr>
              <w:t xml:space="preserve">Report on the annual revenue </w:t>
            </w:r>
            <w:r w:rsidRPr="00DB0C05">
              <w:rPr>
                <w:rFonts w:ascii="Arial" w:hAnsi="Arial" w:cs="Arial"/>
              </w:rPr>
              <w:lastRenderedPageBreak/>
              <w:t>announcement</w:t>
            </w:r>
          </w:p>
          <w:p w:rsidR="008C07F2" w:rsidRPr="00DB0C05" w:rsidRDefault="008C07F2" w:rsidP="008C07F2">
            <w:pPr>
              <w:numPr>
                <w:ilvl w:val="0"/>
                <w:numId w:val="2"/>
              </w:numPr>
              <w:ind w:left="250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</w:rPr>
              <w:t>Campaign specific programs report;</w:t>
            </w:r>
          </w:p>
          <w:p w:rsidR="008C07F2" w:rsidRPr="00DB0C05" w:rsidRDefault="008C07F2" w:rsidP="008C07F2">
            <w:pPr>
              <w:numPr>
                <w:ilvl w:val="0"/>
                <w:numId w:val="2"/>
              </w:numPr>
              <w:ind w:left="250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</w:rPr>
              <w:t>Ad hoc reports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numPr>
                <w:ilvl w:val="0"/>
                <w:numId w:val="3"/>
              </w:numPr>
              <w:ind w:left="304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  <w:lang w:val="x-none"/>
              </w:rPr>
              <w:lastRenderedPageBreak/>
              <w:t>For annual tax season (individuals and employers</w:t>
            </w:r>
            <w:r w:rsidR="004B141E">
              <w:rPr>
                <w:rFonts w:ascii="Arial" w:hAnsi="Arial" w:cs="Arial"/>
              </w:rPr>
              <w:t>)</w:t>
            </w:r>
            <w:bookmarkStart w:id="0" w:name="_GoBack"/>
            <w:bookmarkEnd w:id="0"/>
            <w:r w:rsidRPr="00DB0C05">
              <w:rPr>
                <w:rFonts w:ascii="Arial" w:hAnsi="Arial" w:cs="Arial"/>
                <w:lang w:val="x-none"/>
              </w:rPr>
              <w:t>- within 7 days of tax season end</w:t>
            </w:r>
          </w:p>
          <w:p w:rsidR="008C07F2" w:rsidRPr="00DB0C05" w:rsidRDefault="008C07F2" w:rsidP="008C07F2">
            <w:pPr>
              <w:numPr>
                <w:ilvl w:val="0"/>
                <w:numId w:val="4"/>
              </w:numPr>
              <w:ind w:left="304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  <w:lang w:val="x-none"/>
              </w:rPr>
              <w:t>For annual revenue announcement- within 10 days of the announcement</w:t>
            </w:r>
          </w:p>
          <w:p w:rsidR="008C07F2" w:rsidRPr="00DB0C05" w:rsidRDefault="008C07F2" w:rsidP="008C07F2">
            <w:pPr>
              <w:numPr>
                <w:ilvl w:val="0"/>
                <w:numId w:val="4"/>
              </w:numPr>
              <w:ind w:left="304" w:hanging="284"/>
              <w:rPr>
                <w:rFonts w:ascii="Arial" w:hAnsi="Arial" w:cs="Arial"/>
                <w:lang w:val="x-none"/>
              </w:rPr>
            </w:pPr>
            <w:r w:rsidRPr="00DB0C05">
              <w:rPr>
                <w:rFonts w:ascii="Arial" w:hAnsi="Arial" w:cs="Arial"/>
                <w:lang w:val="x-none"/>
              </w:rPr>
              <w:lastRenderedPageBreak/>
              <w:t>For campaign specific programs- within 7 days of the end of the campaign</w:t>
            </w:r>
          </w:p>
          <w:p w:rsidR="008C07F2" w:rsidRPr="00DB0C05" w:rsidRDefault="008C07F2" w:rsidP="008C07F2">
            <w:pPr>
              <w:numPr>
                <w:ilvl w:val="0"/>
                <w:numId w:val="4"/>
              </w:numPr>
              <w:ind w:left="304" w:hanging="284"/>
              <w:rPr>
                <w:lang w:val="x-none"/>
              </w:rPr>
            </w:pPr>
            <w:r w:rsidRPr="00DB0C05">
              <w:rPr>
                <w:rFonts w:ascii="Arial" w:hAnsi="Arial" w:cs="Arial"/>
                <w:lang w:val="x-none"/>
              </w:rPr>
              <w:t>For ad hoc reports- as and when required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ind w:left="304" w:hanging="284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lastRenderedPageBreak/>
              <w:t>Special analysis report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</w:tc>
      </w:tr>
      <w:tr w:rsidR="008C07F2" w:rsidRPr="00DB0C05" w:rsidTr="00FE2F21">
        <w:tc>
          <w:tcPr>
            <w:tcW w:w="127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Technical training and support</w:t>
            </w:r>
          </w:p>
        </w:tc>
        <w:tc>
          <w:tcPr>
            <w:tcW w:w="14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The Service Provider to provide technical training and support on the access and use of the electronic portal, where there articles will be stored</w:t>
            </w:r>
          </w:p>
        </w:tc>
        <w:tc>
          <w:tcPr>
            <w:tcW w:w="1434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For training…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For technical support- daily on a 365/6 day and 24 hour basis</w:t>
            </w:r>
          </w:p>
        </w:tc>
        <w:tc>
          <w:tcPr>
            <w:tcW w:w="1843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</w:t>
            </w:r>
          </w:p>
        </w:tc>
        <w:tc>
          <w:tcPr>
            <w:tcW w:w="170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Monthly</w:t>
            </w:r>
          </w:p>
        </w:tc>
        <w:tc>
          <w:tcPr>
            <w:tcW w:w="992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…%</w:t>
            </w:r>
          </w:p>
        </w:tc>
        <w:tc>
          <w:tcPr>
            <w:tcW w:w="1041" w:type="dxa"/>
          </w:tcPr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100%</w:t>
            </w:r>
          </w:p>
          <w:p w:rsidR="008C07F2" w:rsidRPr="00DB0C05" w:rsidRDefault="008C07F2" w:rsidP="008C07F2">
            <w:pPr>
              <w:spacing w:after="200" w:line="276" w:lineRule="auto"/>
              <w:rPr>
                <w:rFonts w:ascii="Arial" w:hAnsi="Arial" w:cs="Arial"/>
              </w:rPr>
            </w:pPr>
            <w:r w:rsidRPr="00DB0C05">
              <w:rPr>
                <w:rFonts w:ascii="Arial" w:hAnsi="Arial" w:cs="Arial"/>
              </w:rPr>
              <w:t>98% for technical support</w:t>
            </w:r>
          </w:p>
        </w:tc>
      </w:tr>
    </w:tbl>
    <w:p w:rsidR="008C07F2" w:rsidRPr="00DB0C05" w:rsidRDefault="008C07F2" w:rsidP="008C07F2">
      <w:pPr>
        <w:spacing w:after="200" w:line="276" w:lineRule="auto"/>
        <w:rPr>
          <w:sz w:val="20"/>
          <w:szCs w:val="20"/>
        </w:rPr>
      </w:pPr>
    </w:p>
    <w:p w:rsidR="008C07F2" w:rsidRPr="00DB0C05" w:rsidRDefault="008C07F2" w:rsidP="008C07F2">
      <w:pPr>
        <w:spacing w:after="200" w:line="276" w:lineRule="auto"/>
        <w:rPr>
          <w:sz w:val="20"/>
          <w:szCs w:val="20"/>
        </w:rPr>
      </w:pPr>
    </w:p>
    <w:p w:rsidR="008C07F2" w:rsidRPr="00DB0C05" w:rsidRDefault="008C07F2" w:rsidP="008C07F2">
      <w:pPr>
        <w:spacing w:after="200" w:line="276" w:lineRule="auto"/>
        <w:rPr>
          <w:sz w:val="20"/>
          <w:szCs w:val="20"/>
        </w:rPr>
      </w:pPr>
    </w:p>
    <w:p w:rsidR="00AB5B4D" w:rsidRPr="00DB0C05" w:rsidRDefault="00AB5B4D">
      <w:pPr>
        <w:rPr>
          <w:sz w:val="20"/>
          <w:szCs w:val="20"/>
        </w:rPr>
      </w:pPr>
    </w:p>
    <w:sectPr w:rsidR="00AB5B4D" w:rsidRPr="00DB0C05" w:rsidSect="008C07F2">
      <w:headerReference w:type="even" r:id="rId7"/>
      <w:headerReference w:type="default" r:id="rId8"/>
      <w:footerReference w:type="even" r:id="rId9"/>
      <w:footerReference w:type="default" r:id="rId10"/>
      <w:pgSz w:w="16834" w:h="11909" w:orient="landscape" w:code="9"/>
      <w:pgMar w:top="1080" w:right="1099" w:bottom="1136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2BA" w:rsidRDefault="000E12BA">
      <w:pPr>
        <w:spacing w:after="0" w:line="240" w:lineRule="auto"/>
      </w:pPr>
      <w:r>
        <w:separator/>
      </w:r>
    </w:p>
  </w:endnote>
  <w:endnote w:type="continuationSeparator" w:id="0">
    <w:p w:rsidR="000E12BA" w:rsidRDefault="000E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F0" w:rsidRPr="001440AB" w:rsidRDefault="004B6461" w:rsidP="00213D79">
    <w:pPr>
      <w:pStyle w:val="Footer"/>
      <w:framePr w:wrap="around" w:vAnchor="text" w:hAnchor="margin" w:xAlign="right" w:y="1"/>
      <w:rPr>
        <w:rStyle w:val="PageNumber"/>
        <w:sz w:val="20"/>
      </w:rPr>
    </w:pPr>
    <w:r w:rsidRPr="001440AB">
      <w:rPr>
        <w:rStyle w:val="PageNumber"/>
        <w:sz w:val="20"/>
      </w:rPr>
      <w:fldChar w:fldCharType="begin"/>
    </w:r>
    <w:r w:rsidRPr="001440AB">
      <w:rPr>
        <w:rStyle w:val="PageNumber"/>
        <w:sz w:val="20"/>
      </w:rPr>
      <w:instrText xml:space="preserve">PAGE  </w:instrText>
    </w:r>
    <w:r w:rsidRPr="001440AB">
      <w:rPr>
        <w:rStyle w:val="PageNumber"/>
        <w:sz w:val="20"/>
      </w:rPr>
      <w:fldChar w:fldCharType="end"/>
    </w:r>
  </w:p>
  <w:p w:rsidR="00C87EF0" w:rsidRPr="001440AB" w:rsidRDefault="000E12BA">
    <w:pPr>
      <w:pStyle w:val="Footer"/>
      <w:ind w:right="36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F0" w:rsidRPr="003C6EE3" w:rsidRDefault="004B6461" w:rsidP="00213D79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3C6EE3">
      <w:rPr>
        <w:rStyle w:val="PageNumber"/>
        <w:rFonts w:ascii="Arial" w:hAnsi="Arial" w:cs="Arial"/>
      </w:rPr>
      <w:fldChar w:fldCharType="begin"/>
    </w:r>
    <w:r w:rsidRPr="003C6EE3">
      <w:rPr>
        <w:rStyle w:val="PageNumber"/>
        <w:rFonts w:ascii="Arial" w:hAnsi="Arial" w:cs="Arial"/>
      </w:rPr>
      <w:instrText xml:space="preserve">PAGE  </w:instrText>
    </w:r>
    <w:r w:rsidRPr="003C6EE3">
      <w:rPr>
        <w:rStyle w:val="PageNumber"/>
        <w:rFonts w:ascii="Arial" w:hAnsi="Arial" w:cs="Arial"/>
      </w:rPr>
      <w:fldChar w:fldCharType="separate"/>
    </w:r>
    <w:r w:rsidR="004B141E">
      <w:rPr>
        <w:rStyle w:val="PageNumber"/>
        <w:rFonts w:ascii="Arial" w:hAnsi="Arial" w:cs="Arial"/>
        <w:noProof/>
      </w:rPr>
      <w:t>9</w:t>
    </w:r>
    <w:r w:rsidRPr="003C6EE3">
      <w:rPr>
        <w:rStyle w:val="PageNumber"/>
        <w:rFonts w:ascii="Arial" w:hAnsi="Arial" w:cs="Arial"/>
      </w:rPr>
      <w:fldChar w:fldCharType="end"/>
    </w:r>
  </w:p>
  <w:p w:rsidR="00C87EF0" w:rsidRPr="003C6EE3" w:rsidRDefault="004B6461" w:rsidP="00213D79">
    <w:pPr>
      <w:pStyle w:val="Footer"/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en-GB"/>
      </w:rPr>
      <w:t xml:space="preserve">Media Monitoring and Analysis </w:t>
    </w:r>
    <w:r w:rsidRPr="00894BDE">
      <w:rPr>
        <w:rFonts w:ascii="Arial" w:hAnsi="Arial" w:cs="Arial"/>
        <w:sz w:val="18"/>
        <w:szCs w:val="18"/>
        <w:lang w:val="en-GB"/>
      </w:rPr>
      <w:t xml:space="preserve">Services </w:t>
    </w:r>
    <w:r w:rsidRPr="003C6EE3">
      <w:rPr>
        <w:rFonts w:ascii="Arial" w:hAnsi="Arial" w:cs="Arial"/>
        <w:sz w:val="18"/>
        <w:szCs w:val="18"/>
      </w:rPr>
      <w:t xml:space="preserve">Agreement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2BA" w:rsidRDefault="000E12BA">
      <w:pPr>
        <w:spacing w:after="0" w:line="240" w:lineRule="auto"/>
      </w:pPr>
      <w:r>
        <w:separator/>
      </w:r>
    </w:p>
  </w:footnote>
  <w:footnote w:type="continuationSeparator" w:id="0">
    <w:p w:rsidR="000E12BA" w:rsidRDefault="000E1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F0" w:rsidRPr="001440AB" w:rsidRDefault="004B6461" w:rsidP="00213D79">
    <w:pPr>
      <w:pStyle w:val="Header"/>
      <w:framePr w:wrap="around" w:vAnchor="text" w:hAnchor="margin" w:xAlign="right" w:y="1"/>
      <w:rPr>
        <w:rStyle w:val="PageNumber"/>
        <w:sz w:val="20"/>
      </w:rPr>
    </w:pPr>
    <w:r w:rsidRPr="001440AB">
      <w:rPr>
        <w:rStyle w:val="PageNumber"/>
        <w:sz w:val="20"/>
      </w:rPr>
      <w:fldChar w:fldCharType="begin"/>
    </w:r>
    <w:r w:rsidRPr="001440AB">
      <w:rPr>
        <w:rStyle w:val="PageNumber"/>
        <w:sz w:val="20"/>
      </w:rPr>
      <w:instrText xml:space="preserve">PAGE  </w:instrText>
    </w:r>
    <w:r w:rsidRPr="001440AB">
      <w:rPr>
        <w:rStyle w:val="PageNumber"/>
        <w:sz w:val="20"/>
      </w:rPr>
      <w:fldChar w:fldCharType="separate"/>
    </w:r>
    <w:r w:rsidRPr="001440AB">
      <w:rPr>
        <w:rStyle w:val="PageNumber"/>
        <w:noProof/>
        <w:sz w:val="20"/>
      </w:rPr>
      <w:t>15</w:t>
    </w:r>
    <w:r w:rsidRPr="001440AB">
      <w:rPr>
        <w:rStyle w:val="PageNumber"/>
        <w:sz w:val="20"/>
      </w:rPr>
      <w:fldChar w:fldCharType="end"/>
    </w:r>
  </w:p>
  <w:p w:rsidR="00C87EF0" w:rsidRPr="001440AB" w:rsidRDefault="000E12BA" w:rsidP="00213D79">
    <w:pPr>
      <w:pStyle w:val="Header"/>
      <w:ind w:right="36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F0" w:rsidRPr="001440AB" w:rsidRDefault="000E12BA" w:rsidP="00213D79">
    <w:pPr>
      <w:pStyle w:val="Header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239D"/>
    <w:multiLevelType w:val="hybridMultilevel"/>
    <w:tmpl w:val="D4D2F8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D24C2"/>
    <w:multiLevelType w:val="hybridMultilevel"/>
    <w:tmpl w:val="D20A6E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811F6"/>
    <w:multiLevelType w:val="hybridMultilevel"/>
    <w:tmpl w:val="66F409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61A3F"/>
    <w:multiLevelType w:val="hybridMultilevel"/>
    <w:tmpl w:val="4A0623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301697"/>
    <w:multiLevelType w:val="hybridMultilevel"/>
    <w:tmpl w:val="94B0C2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F2"/>
    <w:rsid w:val="000E12BA"/>
    <w:rsid w:val="001D3BF6"/>
    <w:rsid w:val="004B141E"/>
    <w:rsid w:val="004B6461"/>
    <w:rsid w:val="00557EFE"/>
    <w:rsid w:val="007D5123"/>
    <w:rsid w:val="007E26CC"/>
    <w:rsid w:val="008C07F2"/>
    <w:rsid w:val="00944B70"/>
    <w:rsid w:val="009A0A46"/>
    <w:rsid w:val="00AB5B4D"/>
    <w:rsid w:val="00AC5A6C"/>
    <w:rsid w:val="00DB0C05"/>
    <w:rsid w:val="00E32817"/>
    <w:rsid w:val="00F054E8"/>
    <w:rsid w:val="00FE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A5DAB"/>
  <w15:chartTrackingRefBased/>
  <w15:docId w15:val="{9BCCBDE1-A451-45F4-952E-7BDC45B3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C07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07F2"/>
  </w:style>
  <w:style w:type="paragraph" w:styleId="Footer">
    <w:name w:val="footer"/>
    <w:basedOn w:val="Normal"/>
    <w:link w:val="FooterChar"/>
    <w:uiPriority w:val="99"/>
    <w:semiHidden/>
    <w:unhideWhenUsed/>
    <w:rsid w:val="008C07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07F2"/>
  </w:style>
  <w:style w:type="character" w:styleId="PageNumber">
    <w:name w:val="page number"/>
    <w:uiPriority w:val="99"/>
    <w:rsid w:val="008C07F2"/>
    <w:rPr>
      <w:rFonts w:cs="Times New Roman"/>
    </w:rPr>
  </w:style>
  <w:style w:type="table" w:styleId="TableGrid">
    <w:name w:val="Table Grid"/>
    <w:basedOn w:val="TableNormal"/>
    <w:uiPriority w:val="59"/>
    <w:rsid w:val="008C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 Sehapi</dc:creator>
  <cp:keywords/>
  <dc:description/>
  <cp:lastModifiedBy>Bernadette Sehapi</cp:lastModifiedBy>
  <cp:revision>5</cp:revision>
  <dcterms:created xsi:type="dcterms:W3CDTF">2019-12-04T12:41:00Z</dcterms:created>
  <dcterms:modified xsi:type="dcterms:W3CDTF">2019-12-05T11:59:00Z</dcterms:modified>
</cp:coreProperties>
</file>